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32"/>
        </w:rPr>
      </w:pPr>
      <w:r>
        <w:rPr>
          <w:b/>
          <w:bCs/>
          <w:sz w:val="32"/>
        </w:rPr>
        <w:drawing>
          <wp:inline distT="0" distB="0" distL="114300" distR="114300">
            <wp:extent cx="5210175" cy="657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210175" cy="657225"/>
                    </a:xfrm>
                    <a:prstGeom prst="rect">
                      <a:avLst/>
                    </a:prstGeom>
                    <a:noFill/>
                    <a:ln>
                      <a:noFill/>
                    </a:ln>
                  </pic:spPr>
                </pic:pic>
              </a:graphicData>
            </a:graphic>
          </wp:inline>
        </w:drawing>
      </w:r>
    </w:p>
    <w:p>
      <w:pPr>
        <w:spacing w:line="480" w:lineRule="exact"/>
        <w:jc w:val="center"/>
        <w:rPr>
          <w:b/>
          <w:bCs/>
          <w:sz w:val="32"/>
        </w:rPr>
      </w:pPr>
      <w:r>
        <w:rPr>
          <w:rFonts w:hint="eastAsia"/>
          <w:b/>
          <w:bCs/>
          <w:sz w:val="32"/>
        </w:rPr>
        <w:t>校</w:t>
      </w:r>
      <w:r>
        <w:rPr>
          <w:rFonts w:hint="eastAsia"/>
          <w:b/>
          <w:bCs/>
          <w:sz w:val="32"/>
          <w:lang w:eastAsia="zh-CN"/>
        </w:rPr>
        <w:t>教</w:t>
      </w:r>
      <w:r>
        <w:rPr>
          <w:rFonts w:hint="eastAsia"/>
          <w:b/>
          <w:bCs/>
          <w:sz w:val="32"/>
        </w:rPr>
        <w:t>字［2023］</w:t>
      </w:r>
      <w:r>
        <w:rPr>
          <w:rFonts w:hint="eastAsia"/>
          <w:b/>
          <w:bCs/>
          <w:sz w:val="32"/>
          <w:lang w:val="en-US" w:eastAsia="zh-CN"/>
        </w:rPr>
        <w:t>11</w:t>
      </w:r>
      <w:bookmarkStart w:id="0" w:name="_GoBack"/>
      <w:bookmarkEnd w:id="0"/>
      <w:r>
        <w:rPr>
          <w:rFonts w:hint="eastAsia"/>
          <w:b/>
          <w:bCs/>
          <w:sz w:val="32"/>
        </w:rPr>
        <w:t>号</w:t>
      </w:r>
    </w:p>
    <w:p>
      <w:pPr>
        <w:spacing w:line="480" w:lineRule="exact"/>
        <w:jc w:val="both"/>
        <w:rPr>
          <w:rStyle w:val="9"/>
          <w:rFonts w:hint="eastAsia" w:ascii="黑体" w:hAnsi="宋体" w:eastAsia="黑体" w:cs="黑体"/>
          <w:i w:val="0"/>
          <w:caps w:val="0"/>
          <w:color w:val="262626"/>
          <w:spacing w:val="0"/>
          <w:kern w:val="0"/>
          <w:sz w:val="32"/>
          <w:szCs w:val="32"/>
          <w:lang w:val="en-US" w:eastAsia="zh-CN" w:bidi="ar"/>
        </w:rPr>
      </w:pPr>
      <w:r>
        <w:rPr>
          <w:rFonts w:hint="eastAsia" w:ascii="宋体" w:hAnsi="宋体"/>
          <w:b/>
          <w:bCs/>
          <w:color w:val="FF0000"/>
          <w:sz w:val="32"/>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rStyle w:val="9"/>
          <w:rFonts w:hint="eastAsia" w:ascii="黑体" w:hAnsi="宋体" w:eastAsia="黑体" w:cs="黑体"/>
          <w:i w:val="0"/>
          <w:caps w:val="0"/>
          <w:color w:val="262626"/>
          <w:spacing w:val="0"/>
          <w:kern w:val="0"/>
          <w:sz w:val="32"/>
          <w:szCs w:val="32"/>
          <w:lang w:val="en-US" w:eastAsia="zh-CN" w:bidi="ar"/>
        </w:rPr>
      </w:pPr>
      <w:r>
        <w:rPr>
          <w:rStyle w:val="9"/>
          <w:rFonts w:hint="eastAsia" w:ascii="黑体" w:hAnsi="宋体" w:eastAsia="黑体" w:cs="黑体"/>
          <w:i w:val="0"/>
          <w:caps w:val="0"/>
          <w:color w:val="262626"/>
          <w:spacing w:val="0"/>
          <w:kern w:val="0"/>
          <w:sz w:val="32"/>
          <w:szCs w:val="32"/>
          <w:lang w:val="en-US" w:eastAsia="zh-CN" w:bidi="ar"/>
        </w:rPr>
        <w:t>保定幼儿师范高等专科学校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rStyle w:val="9"/>
          <w:rFonts w:hint="eastAsia" w:ascii="黑体" w:hAnsi="宋体" w:eastAsia="黑体" w:cs="黑体"/>
          <w:i w:val="0"/>
          <w:caps w:val="0"/>
          <w:color w:val="262626"/>
          <w:spacing w:val="0"/>
          <w:kern w:val="0"/>
          <w:sz w:val="32"/>
          <w:szCs w:val="32"/>
          <w:lang w:val="en-US" w:eastAsia="zh-CN" w:bidi="ar"/>
        </w:rPr>
      </w:pPr>
      <w:r>
        <w:rPr>
          <w:rStyle w:val="9"/>
          <w:rFonts w:hint="eastAsia" w:ascii="黑体" w:hAnsi="宋体" w:eastAsia="黑体" w:cs="黑体"/>
          <w:i w:val="0"/>
          <w:caps w:val="0"/>
          <w:color w:val="262626"/>
          <w:spacing w:val="0"/>
          <w:kern w:val="0"/>
          <w:sz w:val="32"/>
          <w:szCs w:val="32"/>
          <w:lang w:val="en-US" w:eastAsia="zh-CN" w:bidi="ar"/>
        </w:rPr>
        <w:t>教学质量监控与评价实施办法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i w:val="0"/>
          <w:caps w:val="0"/>
          <w:color w:val="262626"/>
          <w:spacing w:val="0"/>
          <w:kern w:val="0"/>
          <w:sz w:val="28"/>
          <w:szCs w:val="28"/>
          <w:lang w:val="en-US" w:eastAsia="zh-CN" w:bidi="ar"/>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i w:val="0"/>
          <w:caps w:val="0"/>
          <w:color w:val="262626"/>
          <w:spacing w:val="0"/>
          <w:kern w:val="0"/>
          <w:sz w:val="28"/>
          <w:szCs w:val="28"/>
          <w:lang w:val="en-US" w:eastAsia="zh-CN" w:bidi="ar"/>
        </w:rPr>
        <w:t xml:space="preserve">第一条 </w:t>
      </w:r>
      <w:r>
        <w:rPr>
          <w:rFonts w:hint="eastAsia" w:asciiTheme="minorEastAsia" w:hAnsiTheme="minorEastAsia" w:eastAsiaTheme="minorEastAsia" w:cstheme="minorEastAsia"/>
          <w:i w:val="0"/>
          <w:caps w:val="0"/>
          <w:color w:val="262626"/>
          <w:spacing w:val="0"/>
          <w:kern w:val="0"/>
          <w:sz w:val="28"/>
          <w:szCs w:val="28"/>
          <w:lang w:val="en-US" w:eastAsia="zh-CN" w:bidi="ar"/>
        </w:rPr>
        <w:t>为进一步提高教学质量保证体系建设水平，加强学校教学质量监控与评价工作，根据《保定幼儿师范高等专科学校内部质量保证体系建设与运行方案（2019--2023）》（党发〔2019〕5号）制定本办法。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i w:val="0"/>
          <w:caps w:val="0"/>
          <w:color w:val="262626"/>
          <w:spacing w:val="0"/>
          <w:kern w:val="0"/>
          <w:sz w:val="28"/>
          <w:szCs w:val="28"/>
          <w:lang w:val="en-US" w:eastAsia="zh-CN" w:bidi="ar"/>
        </w:rPr>
        <w:t xml:space="preserve">第二条 </w:t>
      </w:r>
      <w:r>
        <w:rPr>
          <w:rFonts w:hint="eastAsia" w:asciiTheme="minorEastAsia" w:hAnsiTheme="minorEastAsia" w:eastAsiaTheme="minorEastAsia" w:cstheme="minorEastAsia"/>
          <w:i w:val="0"/>
          <w:caps w:val="0"/>
          <w:color w:val="262626"/>
          <w:spacing w:val="0"/>
          <w:kern w:val="0"/>
          <w:sz w:val="28"/>
          <w:szCs w:val="28"/>
          <w:lang w:val="en-US" w:eastAsia="zh-CN" w:bidi="ar"/>
        </w:rPr>
        <w:t>教学质量监控与评价体系是教育教学质量保证体系的重要组成部分，坚持“学生中心、产出导向、持续改进、多元参与”理念。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i w:val="0"/>
          <w:caps w:val="0"/>
          <w:color w:val="262626"/>
          <w:spacing w:val="0"/>
          <w:kern w:val="0"/>
          <w:sz w:val="28"/>
          <w:szCs w:val="28"/>
          <w:lang w:val="en-US" w:eastAsia="zh-CN" w:bidi="ar"/>
        </w:rPr>
        <w:t xml:space="preserve">第三条 </w:t>
      </w:r>
      <w:r>
        <w:rPr>
          <w:rFonts w:hint="eastAsia" w:asciiTheme="minorEastAsia" w:hAnsiTheme="minorEastAsia" w:eastAsiaTheme="minorEastAsia" w:cstheme="minorEastAsia"/>
          <w:i w:val="0"/>
          <w:caps w:val="0"/>
          <w:color w:val="262626"/>
          <w:spacing w:val="0"/>
          <w:kern w:val="0"/>
          <w:sz w:val="28"/>
          <w:szCs w:val="28"/>
          <w:lang w:val="en-US" w:eastAsia="zh-CN" w:bidi="ar"/>
        </w:rPr>
        <w:t>学校教学质量监控与评价体系建设目标：构建校-系（部、中心）-专业-课程—教师-学生六级教学质量监控与评价体系，实现“三全”育人有效规范、监测、评价、督导，形成教学质量监控—评价—反馈—改进的工作闭环，促进教学工作过程性持续改进，全面促进教育教学质量不断提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i w:val="0"/>
          <w:caps w:val="0"/>
          <w:color w:val="262626"/>
          <w:spacing w:val="0"/>
          <w:kern w:val="0"/>
          <w:sz w:val="28"/>
          <w:szCs w:val="28"/>
          <w:lang w:val="en-US" w:eastAsia="zh-CN" w:bidi="ar"/>
        </w:rPr>
        <w:t xml:space="preserve">  第二章  教育教学监控、评价与职能分工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Style w:val="9"/>
          <w:rFonts w:hint="eastAsia" w:asciiTheme="minorEastAsia" w:hAnsiTheme="minorEastAsia" w:eastAsiaTheme="minorEastAsia" w:cstheme="minorEastAsia"/>
          <w:i w:val="0"/>
          <w:caps w:val="0"/>
          <w:color w:val="262626"/>
          <w:spacing w:val="0"/>
          <w:kern w:val="0"/>
          <w:sz w:val="28"/>
          <w:szCs w:val="28"/>
          <w:lang w:val="en-US" w:eastAsia="zh-CN" w:bidi="ar"/>
        </w:rPr>
        <w:t xml:space="preserve">第四条 </w:t>
      </w:r>
      <w:r>
        <w:rPr>
          <w:rFonts w:hint="eastAsia" w:asciiTheme="minorEastAsia" w:hAnsiTheme="minorEastAsia" w:eastAsiaTheme="minorEastAsia" w:cstheme="minorEastAsia"/>
          <w:i w:val="0"/>
          <w:caps w:val="0"/>
          <w:color w:val="262626"/>
          <w:spacing w:val="0"/>
          <w:kern w:val="0"/>
          <w:sz w:val="28"/>
          <w:szCs w:val="28"/>
          <w:lang w:val="en-US" w:eastAsia="zh-CN" w:bidi="ar"/>
        </w:rPr>
        <w:t>学校教学质量监控与评价管理体系，由学校教学督导委员会、质量监控与评估中心、教务处、人事处、学生处、各系部教学督导组（员）、学生信息员组成。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第五条  学校教学督导委员会负责全校教育教学质量监控与评价领导工作，负责评价各专业人才培养目标、人才培养方案、专业发展规划、招生计划的科学性与可行性。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 xml:space="preserve"> 质量监控与评估中心负责学校层面教学质量监控与评价具体落实，有权对学校各职能部门的质量建设情况进行监测与评价，有权向各部门提出诊改建议并促进完成诊改。主要职责如下：</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560" w:firstLineChars="2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加强教学质量监控与评价的制度建设，保障学校教学质量监控与评价的科学性，负责落实学校教学督导委员会关于教学质量决策的部署，加强教学质量信息采集与分析，分学年完成教学基本状态及教学质量情况的综合评价，组织和深化教学督导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第七条  教务处负责学校各专业、课程、教师、学生层面以及教学日常运行的宏观管理、监控与评价，负责学校整体教学改革与科研的监控与评价，有权对各教学部门的教学计划安排、课堂教学、专业实验实习实训、毕业设计（论文）等教学环节和第二课堂管理的规范性进行监控与评价，有权向各部门提出诊改建议与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第八条  人事处负责师德师风、教师教学能力水平的监控与评价，有权对教学部门的师资队伍建设提出诊改建议与意见，并督促完成改进。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第九条  学生处负责学生学风建设、毕业质量的监控与评价，负责毕业生和用人单位对于学校各系（部）教学的满意度调查与分析，有权对各教学部门的学生学风建设、学生人生规划、在校期间和毕业后五年内的发展质量提出监控与评价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第十条 各系（部、中心）教学督导组（员）和本部门内部质量保证体系建设相关责任人员负责本系（部、中心）教育教学的常态化监控与评价。对于学校各职能部门提出的诊断意见与建议，应当就改进情况及时回复有关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i w:val="0"/>
          <w:caps w:val="0"/>
          <w:color w:val="262626"/>
          <w:spacing w:val="0"/>
          <w:kern w:val="0"/>
          <w:sz w:val="28"/>
          <w:szCs w:val="28"/>
          <w:lang w:val="en-US" w:eastAsia="zh-CN" w:bidi="ar"/>
        </w:rPr>
        <w:t xml:space="preserve">第十一条  </w:t>
      </w:r>
      <w:r>
        <w:rPr>
          <w:rFonts w:hint="eastAsia" w:asciiTheme="minorEastAsia" w:hAnsiTheme="minorEastAsia" w:eastAsiaTheme="minorEastAsia" w:cstheme="minorEastAsia"/>
          <w:i w:val="0"/>
          <w:caps w:val="0"/>
          <w:color w:val="262626"/>
          <w:spacing w:val="0"/>
          <w:kern w:val="0"/>
          <w:sz w:val="28"/>
          <w:szCs w:val="28"/>
          <w:lang w:val="en-US" w:eastAsia="zh-CN" w:bidi="ar"/>
        </w:rPr>
        <w:t>教学系（部、中心）是专业人才培养的主体责任单位，也是进行教学质量自我监控与评价的主体，具体负责本部门的评教、评学工作，包括专业发展评价、毕业要求达成度评价、课程建设评价、教师教学评价、学生学习评价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b/>
          <w:bCs/>
          <w:sz w:val="28"/>
          <w:szCs w:val="28"/>
        </w:rPr>
      </w:pPr>
      <w:r>
        <w:rPr>
          <w:rStyle w:val="9"/>
          <w:rFonts w:hint="eastAsia" w:asciiTheme="minorEastAsia" w:hAnsiTheme="minorEastAsia" w:eastAsiaTheme="minorEastAsia" w:cstheme="minorEastAsia"/>
          <w:i w:val="0"/>
          <w:caps w:val="0"/>
          <w:color w:val="262626"/>
          <w:spacing w:val="0"/>
          <w:kern w:val="0"/>
          <w:sz w:val="28"/>
          <w:szCs w:val="28"/>
          <w:lang w:val="en-US" w:eastAsia="zh-CN" w:bidi="ar"/>
        </w:rPr>
        <w:t xml:space="preserve">第十二条  </w:t>
      </w:r>
      <w:r>
        <w:rPr>
          <w:rFonts w:hint="eastAsia" w:asciiTheme="minorEastAsia" w:hAnsiTheme="minorEastAsia" w:eastAsiaTheme="minorEastAsia" w:cstheme="minorEastAsia"/>
          <w:i w:val="0"/>
          <w:caps w:val="0"/>
          <w:color w:val="262626"/>
          <w:spacing w:val="0"/>
          <w:kern w:val="0"/>
          <w:sz w:val="28"/>
          <w:szCs w:val="28"/>
          <w:lang w:val="en-US" w:eastAsia="zh-CN" w:bidi="ar"/>
        </w:rPr>
        <w:t>学校其他各职能处室按照《保定幼儿师范高等专科学校内部质量保证体系建设与运行方案（2019--2023）》（党发[2019]5号）文件落实本部门应承担的教学质量监控和评价相关工作责任，保证教学质量的不断提高。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i w:val="0"/>
          <w:caps w:val="0"/>
          <w:color w:val="262626"/>
          <w:spacing w:val="0"/>
          <w:kern w:val="0"/>
          <w:sz w:val="28"/>
          <w:szCs w:val="28"/>
          <w:lang w:val="en-US" w:eastAsia="zh-CN" w:bidi="ar"/>
        </w:rPr>
        <w:t>第三章   监控、评价方法与主要内容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Style w:val="9"/>
          <w:rFonts w:hint="eastAsia" w:asciiTheme="minorEastAsia" w:hAnsiTheme="minorEastAsia" w:eastAsiaTheme="minorEastAsia" w:cstheme="minorEastAsia"/>
          <w:i w:val="0"/>
          <w:caps w:val="0"/>
          <w:color w:val="262626"/>
          <w:spacing w:val="0"/>
          <w:kern w:val="0"/>
          <w:sz w:val="28"/>
          <w:szCs w:val="28"/>
          <w:lang w:val="en-US" w:eastAsia="zh-CN" w:bidi="ar"/>
        </w:rPr>
        <w:t xml:space="preserve">第十三条  </w:t>
      </w:r>
      <w:r>
        <w:rPr>
          <w:rFonts w:hint="eastAsia" w:asciiTheme="minorEastAsia" w:hAnsiTheme="minorEastAsia" w:eastAsiaTheme="minorEastAsia" w:cstheme="minorEastAsia"/>
          <w:i w:val="0"/>
          <w:caps w:val="0"/>
          <w:color w:val="262626"/>
          <w:spacing w:val="0"/>
          <w:kern w:val="0"/>
          <w:sz w:val="28"/>
          <w:szCs w:val="28"/>
          <w:lang w:val="en-US" w:eastAsia="zh-CN" w:bidi="ar"/>
        </w:rPr>
        <w:t>教学质量监控与评价应当形成科学合理的工作流程与监控、评价网络，并以工作闭环机制保证质量建设的成效。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62626"/>
          <w:spacing w:val="0"/>
          <w:kern w:val="0"/>
          <w:sz w:val="28"/>
          <w:szCs w:val="28"/>
          <w:lang w:val="en-US" w:eastAsia="zh-CN" w:bidi="ar"/>
        </w:rPr>
        <w:t>第十四条 质量监控与评价各部门应当根据专业人才培养目标、人才培养方案、毕业要求及标准、教学各环节质量标准等对专业人才培养全过程、各要素进行教学质量监控与评价，依据教学管理规章制度及时进行意见反馈、诊断改进，落实责任追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i w:val="0"/>
          <w:caps w:val="0"/>
          <w:color w:val="262626"/>
          <w:spacing w:val="0"/>
          <w:kern w:val="0"/>
          <w:sz w:val="28"/>
          <w:szCs w:val="28"/>
          <w:lang w:val="en-US" w:eastAsia="zh-CN" w:bidi="ar"/>
        </w:rPr>
        <w:t>第四章   监控评价主要措施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第十五条 教学质量监控的主要措施包括：专业人才培养方案合理性评价、教学基本状态常态监测、人才培养过程常态监控与评价，教学质量年度报告、专业认证评估、课程评估、教材评估、实验实训实习专项评价，人才培养质量达成情况评价，教学工作考核，就业质量年度报告，毕业生跟踪调查，毕业生满意度和用人单位调查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第十六条  学校推进人才培养方案合理性评价。教学督导委员会每学年应当对人才培养方案的制定与修改情况进行督查。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各教学系部和专业应当依据《关于完善各级质量保证机构落实全面质量管理的意见》(党发[2021]12号）等文件精神，组织在校生、教师、毕业生、用人单位、家长、地方教育行政部门等利益相关方和同行专家开展人才培养目标合理性、毕业要求合理性、课程体系合理性等评价与论证，适时制定、修订人才培养方案，增强专业教育与社会需求的适应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第十七条  落实质量常态化管控与评价。质量监控与评估中心、教务处、学生处、人事处、各系部、各专业团队应当加强教学基本状态常态监测。学校强化数据采集平台建设。各教学相关机构、团队应当按年度采集、填报教学基本状态数据，实现学校、系部、专业三级教学状态常态监测与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第十八条  实行教学质量年度报告制度。各专业应当根据具体信息实事求是地编写和发布专业年度教学质量报告；质量监控与评估中心负责汇总各部门教学状况数据分年度编制发布学校年度教学质量报告。年度教学质量报告要围绕人才培养、毕业质量达成、教学质量保证等方面实事求是进行报告和分析，并就存在问题提出具体改进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第十九条  学校和相关专业积极推进师范专业认证工作。学校根据国家和河北省师范专业认证办法，结合学校实际，组织专业开展自评自建，接受教育主管部门和第三方的专业认证评估，根据专家意见与建议及时诊改。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第二十条  各专业深化课程评价。学校建立三年一轮的课程评估制度。各专业依据本专业规划聚焦课程目标达成情况，设计课程评估指标体系，从课程建设、教师队伍、教学改革、资源建设、持续改进等方面对课程进行深入评价，并就存在问题深入论证做好改进方案，在下一轮及时改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第二十一条  学校初等教材定期评估制度。教学督导委员会要依据教材工作相关标准每三年对全校教材选用情况进行评估，对于内容、方式陈旧不能适应时代发展需要的教材，督促调整。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第二十二条   实验室、实训室等教学场地、设备设施专项评估。学校教学督导委员会每学期对全校的实验室、实训室建设情况进行专项评估，保证实验室和实训室等教学场地、条件建设满足专业人才培养需要。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教务处和各系部每学期初应当及时对本部门管理实验实训场地与设备设施进行专业检查，对于存在的不足及时改进，确保教学工作需要。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第二十三条  细化人才培养过程监控与评价。通过校、系（部）两级课堂教学实时监控、教学督导、教学检查、学生信息员反馈、学生评教、教师评学等制度，对课堂教学、实验实训、见习实习、毕业设计（论文）、第二课堂等教师教学、学生学习、教学管理过程进行监控与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实行教师教学预警制度和学生学业预警制度。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加强教师教学业务档案和学生个人成长档案建设，加强对教师教学和学生发展过程的监控、评价与服务。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第二十四条  推进人才培养质量达成情况评价。各专业负责本专业毕业生的人才培养质量达成度与效果评价，须通过毕业生离校前调查、毕业生座谈会等方式结合学业综合评价进行。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学生处负责毕业生跟踪调查评价，需要就学生毕业后五年的专业发展情况进行追踪调查。调查采用多元利益相关方评价和定性、定量相结合的评价方式，以多种形式获取学生、家长、用人单位等对学校人才培养的意见和建议，动态监控人才培养质量状况，并将相关信息反馈给相关系部和专业用于诊断与改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第二十五条   实施教学工作年度考核制度。落实教师教学、基层教学组织和系部教学工作年度考核制度。依据教师教学工作年度考核办法，对教师师德师风、教学工作量、教学科研工作量、课堂教学质量、教学改革研究成果及其他成果进行综合考核与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评价结果纳入绩效考核与评价。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第二十六条   定期组织基层教学组织工作考评。质量监控评估中心与教务处完善系部教学工作年度考核指标体系，每学期对系部教学管理与运行工作进行考核、评价。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第二十七条  就业质量年度报告。学生处每年10月对毕业生就业率、就业去向、行业分布、专业相关性等进行监测与评价，及时将信息分析反馈给相关机构，每年12月30日前发布学校本届毕业生专业就业质量年度报告。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第二十八条  深化教学座谈会和满意度调查。质量监控与评估中心每学期组织教师、在校生进行教学质量座谈会与满意度评价，就教风、学风、教学运行、服务师生等情况进行调查研究，深入听取师生意见，相关信息可以作为部门工作评价的依据。严重影响教学工作的情况，质量监控与评估中心应及时反馈给相关部门或上报学校教学督导委员会进一步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第二十九条  加强教学质量监控评价信息化建设。加强校园信息化建设，加强内部质量诊改平台建设，力争2025年达到国家职业院校内部质量保证体系诊断与改进复核标准。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第三十条 系统性改进教学评价。学校建立健全学校、系（部）、专业、课程、教师、学生评价指标体系，提高科学评价与管理水平。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812" w:firstLineChars="29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教师评价聚焦教学、教育科研和服务社会三个方面，明确具体标准和权重，评价结果纳入绩效工资发放。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812" w:firstLineChars="29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学生评价建立系统的过程性评价与结果性评价体系，落实学分制管理。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i w:val="0"/>
          <w:caps w:val="0"/>
          <w:color w:val="262626"/>
          <w:spacing w:val="0"/>
          <w:kern w:val="0"/>
          <w:sz w:val="28"/>
          <w:szCs w:val="28"/>
          <w:lang w:val="en-US" w:eastAsia="zh-CN" w:bidi="ar"/>
        </w:rPr>
        <w:t>第五章  监控评价体系机制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i w:val="0"/>
          <w:caps w:val="0"/>
          <w:color w:val="262626"/>
          <w:spacing w:val="0"/>
          <w:kern w:val="0"/>
          <w:sz w:val="28"/>
          <w:szCs w:val="28"/>
          <w:lang w:val="en-US" w:eastAsia="zh-CN" w:bidi="ar"/>
        </w:rPr>
        <w:t xml:space="preserve">第三十一条  </w:t>
      </w:r>
      <w:r>
        <w:rPr>
          <w:rFonts w:hint="eastAsia" w:asciiTheme="minorEastAsia" w:hAnsiTheme="minorEastAsia" w:eastAsiaTheme="minorEastAsia" w:cstheme="minorEastAsia"/>
          <w:i w:val="0"/>
          <w:caps w:val="0"/>
          <w:color w:val="262626"/>
          <w:spacing w:val="0"/>
          <w:kern w:val="0"/>
          <w:sz w:val="28"/>
          <w:szCs w:val="28"/>
          <w:lang w:val="en-US" w:eastAsia="zh-CN" w:bidi="ar"/>
        </w:rPr>
        <w:t>实行教学质量监控主要领导负责制，各系部（中心）、职能部门负责人是本部门教学质量工作监控的第一责任人。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Style w:val="9"/>
          <w:rFonts w:hint="eastAsia" w:asciiTheme="minorEastAsia" w:hAnsiTheme="minorEastAsia" w:eastAsiaTheme="minorEastAsia" w:cstheme="minorEastAsia"/>
          <w:i w:val="0"/>
          <w:caps w:val="0"/>
          <w:color w:val="262626"/>
          <w:spacing w:val="0"/>
          <w:kern w:val="0"/>
          <w:sz w:val="28"/>
          <w:szCs w:val="28"/>
          <w:lang w:val="en-US" w:eastAsia="zh-CN" w:bidi="ar"/>
        </w:rPr>
        <w:t xml:space="preserve">第三十二条 </w:t>
      </w:r>
      <w:r>
        <w:rPr>
          <w:rFonts w:hint="eastAsia" w:asciiTheme="minorEastAsia" w:hAnsiTheme="minorEastAsia" w:eastAsiaTheme="minorEastAsia" w:cstheme="minorEastAsia"/>
          <w:i w:val="0"/>
          <w:caps w:val="0"/>
          <w:color w:val="262626"/>
          <w:spacing w:val="0"/>
          <w:kern w:val="0"/>
          <w:sz w:val="28"/>
          <w:szCs w:val="28"/>
          <w:lang w:val="en-US" w:eastAsia="zh-CN" w:bidi="ar"/>
        </w:rPr>
        <w:t>坚持质量改进PDCA循环，强化质量持续改进。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完善质量信息采集反馈的途径与渠道，健全教学质量信息采集—统计分析—评价反馈—持续改进的工作机制。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第三十三条  保障师生就教学质量的意见与建议权。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学生师生有权向学校或相关部门反映教学质量中存在的问题。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62626"/>
          <w:spacing w:val="0"/>
          <w:kern w:val="0"/>
          <w:sz w:val="28"/>
          <w:szCs w:val="28"/>
          <w:lang w:val="en-US" w:eastAsia="zh-CN" w:bidi="ar"/>
        </w:rPr>
        <w:t>各级组织或相关部门接到反馈问题后，应及时作出回应，对存在的问题，能够立即改进的应立即改进，不能立即改进的，应制定相应计划有序改进。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Style w:val="9"/>
          <w:rFonts w:hint="eastAsia" w:asciiTheme="minorEastAsia" w:hAnsiTheme="minorEastAsia" w:eastAsiaTheme="minorEastAsia" w:cstheme="minorEastAsia"/>
          <w:i w:val="0"/>
          <w:caps w:val="0"/>
          <w:color w:val="262626"/>
          <w:spacing w:val="0"/>
          <w:kern w:val="0"/>
          <w:sz w:val="28"/>
          <w:szCs w:val="28"/>
          <w:lang w:val="en-US" w:eastAsia="zh-CN" w:bidi="ar"/>
        </w:rPr>
        <w:t xml:space="preserve">第三十三条 </w:t>
      </w:r>
      <w:r>
        <w:rPr>
          <w:rFonts w:hint="eastAsia" w:asciiTheme="minorEastAsia" w:hAnsiTheme="minorEastAsia" w:eastAsiaTheme="minorEastAsia" w:cstheme="minorEastAsia"/>
          <w:i w:val="0"/>
          <w:caps w:val="0"/>
          <w:color w:val="262626"/>
          <w:spacing w:val="0"/>
          <w:kern w:val="0"/>
          <w:sz w:val="28"/>
          <w:szCs w:val="28"/>
          <w:lang w:val="en-US" w:eastAsia="zh-CN" w:bidi="ar"/>
        </w:rPr>
        <w:t>质量监控与评估中心和学校各级组织应加强对反馈问题整改落实情况的跟踪。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62626"/>
          <w:spacing w:val="0"/>
          <w:kern w:val="0"/>
          <w:sz w:val="28"/>
          <w:szCs w:val="28"/>
          <w:lang w:val="en-US" w:eastAsia="zh-CN" w:bidi="ar"/>
        </w:rPr>
        <w:t>承担有诊改工作任务的部门，应根据诊改任务的性质，及时向相关机构反馈改进信息。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00"/>
        <w:jc w:val="left"/>
        <w:textAlignment w:val="auto"/>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i w:val="0"/>
          <w:caps w:val="0"/>
          <w:color w:val="262626"/>
          <w:spacing w:val="0"/>
          <w:kern w:val="0"/>
          <w:sz w:val="28"/>
          <w:szCs w:val="28"/>
          <w:lang w:val="en-US" w:eastAsia="zh-CN" w:bidi="ar"/>
        </w:rPr>
        <w:t xml:space="preserve">第三十四条 </w:t>
      </w:r>
      <w:r>
        <w:rPr>
          <w:rFonts w:hint="eastAsia" w:asciiTheme="minorEastAsia" w:hAnsiTheme="minorEastAsia" w:eastAsiaTheme="minorEastAsia" w:cstheme="minorEastAsia"/>
          <w:i w:val="0"/>
          <w:caps w:val="0"/>
          <w:color w:val="262626"/>
          <w:spacing w:val="0"/>
          <w:kern w:val="0"/>
          <w:sz w:val="28"/>
          <w:szCs w:val="28"/>
          <w:lang w:val="en-US" w:eastAsia="zh-CN" w:bidi="ar"/>
        </w:rPr>
        <w:t>各级机构进行教学质量信息采集—统计分析—监控评价—反馈改进，应加强档案资料的建设与管理。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i w:val="0"/>
          <w:caps w:val="0"/>
          <w:color w:val="262626"/>
          <w:spacing w:val="0"/>
          <w:kern w:val="0"/>
          <w:sz w:val="28"/>
          <w:szCs w:val="28"/>
          <w:lang w:val="en-US" w:eastAsia="zh-CN" w:bidi="ar"/>
        </w:rPr>
        <w:t>第六章  附  则</w:t>
      </w:r>
    </w:p>
    <w:p>
      <w:pPr>
        <w:keepNext w:val="0"/>
        <w:keepLines w:val="0"/>
        <w:pageBreakBefore w:val="0"/>
        <w:kinsoku/>
        <w:wordWrap/>
        <w:overflowPunct/>
        <w:topLinePunct w:val="0"/>
        <w:autoSpaceDE/>
        <w:autoSpaceDN/>
        <w:bidi w:val="0"/>
        <w:adjustRightInd/>
        <w:snapToGrid/>
        <w:spacing w:line="500" w:lineRule="exact"/>
        <w:ind w:firstLine="281" w:firstLineChars="100"/>
        <w:textAlignment w:val="auto"/>
        <w:rPr>
          <w:rFonts w:hint="eastAsia" w:asciiTheme="minorEastAsia" w:hAnsiTheme="minorEastAsia" w:eastAsiaTheme="minorEastAsia" w:cstheme="minorEastAsia"/>
          <w:i w:val="0"/>
          <w:caps w:val="0"/>
          <w:color w:val="262626"/>
          <w:spacing w:val="0"/>
          <w:kern w:val="0"/>
          <w:sz w:val="28"/>
          <w:szCs w:val="28"/>
          <w:lang w:val="en-US" w:eastAsia="zh-CN" w:bidi="ar"/>
        </w:rPr>
      </w:pPr>
      <w:r>
        <w:rPr>
          <w:rStyle w:val="9"/>
          <w:rFonts w:hint="eastAsia" w:asciiTheme="minorEastAsia" w:hAnsiTheme="minorEastAsia" w:eastAsiaTheme="minorEastAsia" w:cstheme="minorEastAsia"/>
          <w:i w:val="0"/>
          <w:caps w:val="0"/>
          <w:color w:val="262626"/>
          <w:spacing w:val="0"/>
          <w:kern w:val="0"/>
          <w:sz w:val="28"/>
          <w:szCs w:val="28"/>
          <w:lang w:val="en-US" w:eastAsia="zh-CN" w:bidi="ar"/>
        </w:rPr>
        <w:t xml:space="preserve">第三十五条 </w:t>
      </w:r>
      <w:r>
        <w:rPr>
          <w:rFonts w:hint="eastAsia" w:asciiTheme="minorEastAsia" w:hAnsiTheme="minorEastAsia" w:eastAsiaTheme="minorEastAsia" w:cstheme="minorEastAsia"/>
          <w:i w:val="0"/>
          <w:caps w:val="0"/>
          <w:color w:val="262626"/>
          <w:spacing w:val="0"/>
          <w:kern w:val="0"/>
          <w:sz w:val="28"/>
          <w:szCs w:val="28"/>
          <w:lang w:val="en-US" w:eastAsia="zh-CN" w:bidi="ar"/>
        </w:rPr>
        <w:t>本办法自发布之日起执行，由质量监控与评估中心负责解释。</w:t>
      </w:r>
    </w:p>
    <w:p>
      <w:pPr>
        <w:pStyle w:val="2"/>
        <w:rPr>
          <w:rFonts w:hint="eastAsia" w:asciiTheme="minorEastAsia" w:hAnsiTheme="minorEastAsia" w:eastAsiaTheme="minorEastAsia" w:cstheme="minorEastAsia"/>
          <w:i w:val="0"/>
          <w:caps w:val="0"/>
          <w:color w:val="262626"/>
          <w:spacing w:val="0"/>
          <w:kern w:val="0"/>
          <w:sz w:val="28"/>
          <w:szCs w:val="28"/>
          <w:lang w:val="en-US" w:eastAsia="zh-CN" w:bidi="ar"/>
        </w:rPr>
      </w:pPr>
    </w:p>
    <w:p>
      <w:pPr>
        <w:pStyle w:val="2"/>
        <w:ind w:left="0" w:leftChars="0" w:firstLine="560" w:firstLineChars="200"/>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Theme="minorEastAsia" w:hAnsiTheme="minorEastAsia" w:eastAsiaTheme="minorEastAsia" w:cstheme="minorEastAsia"/>
          <w:i w:val="0"/>
          <w:caps w:val="0"/>
          <w:color w:val="262626"/>
          <w:spacing w:val="0"/>
          <w:kern w:val="0"/>
          <w:sz w:val="28"/>
          <w:szCs w:val="28"/>
          <w:lang w:val="en-US" w:eastAsia="zh-CN" w:bidi="ar"/>
        </w:rPr>
        <w:t>附件：教学质量监测与评价通用意见反馈表</w:t>
      </w:r>
    </w:p>
    <w:p>
      <w:pPr>
        <w:pStyle w:val="2"/>
        <w:ind w:left="0" w:leftChars="0" w:firstLine="560" w:firstLineChars="200"/>
        <w:rPr>
          <w:rFonts w:hint="eastAsia" w:ascii="仿宋_GB2312" w:hAnsi="仿宋_GB2312" w:eastAsia="仿宋_GB2312" w:cs="仿宋_GB2312"/>
          <w:i w:val="0"/>
          <w:caps w:val="0"/>
          <w:color w:val="262626"/>
          <w:spacing w:val="0"/>
          <w:kern w:val="0"/>
          <w:sz w:val="28"/>
          <w:szCs w:val="28"/>
          <w:lang w:val="en-US" w:eastAsia="zh-CN" w:bidi="ar"/>
        </w:rPr>
      </w:pPr>
    </w:p>
    <w:p>
      <w:pPr>
        <w:pStyle w:val="2"/>
        <w:ind w:left="0" w:leftChars="0" w:firstLine="560" w:firstLineChars="200"/>
        <w:rPr>
          <w:rFonts w:hint="eastAsia" w:ascii="仿宋_GB2312" w:hAnsi="仿宋_GB2312" w:eastAsia="仿宋_GB2312" w:cs="仿宋_GB2312"/>
          <w:i w:val="0"/>
          <w:caps w:val="0"/>
          <w:color w:val="262626"/>
          <w:spacing w:val="0"/>
          <w:kern w:val="0"/>
          <w:sz w:val="28"/>
          <w:szCs w:val="28"/>
          <w:lang w:val="en-US" w:eastAsia="zh-CN" w:bidi="ar"/>
        </w:rPr>
      </w:pPr>
    </w:p>
    <w:p>
      <w:pPr>
        <w:pStyle w:val="2"/>
        <w:ind w:left="0" w:leftChars="0" w:firstLine="0" w:firstLineChars="0"/>
        <w:rPr>
          <w:rFonts w:hint="eastAsia" w:asciiTheme="minorEastAsia" w:hAnsiTheme="minorEastAsia" w:eastAsiaTheme="minorEastAsia" w:cstheme="minorEastAsia"/>
          <w:i w:val="0"/>
          <w:caps w:val="0"/>
          <w:color w:val="262626"/>
          <w:spacing w:val="0"/>
          <w:kern w:val="0"/>
          <w:sz w:val="28"/>
          <w:szCs w:val="28"/>
          <w:lang w:val="en-US" w:eastAsia="zh-CN" w:bidi="ar"/>
        </w:rPr>
      </w:pPr>
      <w:r>
        <w:rPr>
          <w:rFonts w:hint="eastAsia" w:ascii="仿宋_GB2312" w:hAnsi="仿宋_GB2312" w:eastAsia="仿宋_GB2312" w:cs="仿宋_GB2312"/>
          <w:i w:val="0"/>
          <w:caps w:val="0"/>
          <w:color w:val="262626"/>
          <w:spacing w:val="0"/>
          <w:kern w:val="0"/>
          <w:sz w:val="28"/>
          <w:szCs w:val="28"/>
          <w:lang w:val="en-US" w:eastAsia="zh-CN" w:bidi="ar"/>
        </w:rPr>
        <w:t xml:space="preserve">                               </w:t>
      </w:r>
      <w:r>
        <w:rPr>
          <w:rFonts w:hint="eastAsia" w:asciiTheme="minorEastAsia" w:hAnsiTheme="minorEastAsia" w:eastAsiaTheme="minorEastAsia" w:cstheme="minorEastAsia"/>
          <w:i w:val="0"/>
          <w:caps w:val="0"/>
          <w:color w:val="262626"/>
          <w:spacing w:val="0"/>
          <w:kern w:val="0"/>
          <w:sz w:val="28"/>
          <w:szCs w:val="28"/>
          <w:lang w:val="en-US" w:eastAsia="zh-CN" w:bidi="ar"/>
        </w:rPr>
        <w:t xml:space="preserve"> 保定幼儿师范高等专科学校</w:t>
      </w:r>
    </w:p>
    <w:p>
      <w:pPr>
        <w:pStyle w:val="2"/>
        <w:ind w:left="0" w:leftChars="0" w:firstLine="0" w:firstLineChars="0"/>
        <w:rPr>
          <w:rFonts w:hint="default" w:asciiTheme="minorEastAsia" w:hAnsiTheme="minorEastAsia" w:eastAsiaTheme="minorEastAsia" w:cstheme="minorEastAsia"/>
          <w:i w:val="0"/>
          <w:caps w:val="0"/>
          <w:color w:val="262626"/>
          <w:spacing w:val="0"/>
          <w:kern w:val="0"/>
          <w:sz w:val="28"/>
          <w:szCs w:val="28"/>
          <w:lang w:val="en-US" w:eastAsia="zh-CN" w:bidi="ar"/>
        </w:rPr>
      </w:pPr>
      <w:r>
        <w:rPr>
          <w:rFonts w:hint="eastAsia" w:ascii="仿宋_GB2312" w:hAnsi="仿宋_GB2312" w:eastAsia="仿宋_GB2312" w:cs="仿宋_GB2312"/>
          <w:i w:val="0"/>
          <w:caps w:val="0"/>
          <w:color w:val="262626"/>
          <w:spacing w:val="0"/>
          <w:kern w:val="0"/>
          <w:sz w:val="28"/>
          <w:szCs w:val="28"/>
          <w:lang w:val="en-US" w:eastAsia="zh-CN" w:bidi="ar"/>
        </w:rPr>
        <w:t xml:space="preserve">                                   </w:t>
      </w:r>
      <w:r>
        <w:rPr>
          <w:rFonts w:hint="eastAsia" w:asciiTheme="minorEastAsia" w:hAnsiTheme="minorEastAsia" w:eastAsiaTheme="minorEastAsia" w:cstheme="minorEastAsia"/>
          <w:i w:val="0"/>
          <w:caps w:val="0"/>
          <w:color w:val="262626"/>
          <w:spacing w:val="0"/>
          <w:kern w:val="0"/>
          <w:sz w:val="28"/>
          <w:szCs w:val="28"/>
          <w:lang w:val="en-US" w:eastAsia="zh-CN" w:bidi="ar"/>
        </w:rPr>
        <w:t xml:space="preserve"> 2023年6月15日</w:t>
      </w:r>
    </w:p>
    <w:p>
      <w:pPr>
        <w:pStyle w:val="2"/>
        <w:rPr>
          <w:rFonts w:hint="eastAsia" w:asciiTheme="minorEastAsia" w:hAnsiTheme="minorEastAsia" w:eastAsiaTheme="minorEastAsia" w:cstheme="minorEastAsia"/>
          <w:i w:val="0"/>
          <w:caps w:val="0"/>
          <w:color w:val="262626"/>
          <w:spacing w:val="0"/>
          <w:kern w:val="0"/>
          <w:sz w:val="28"/>
          <w:szCs w:val="28"/>
          <w:lang w:val="en-US" w:eastAsia="zh-CN" w:bidi="ar"/>
        </w:rPr>
      </w:pPr>
    </w:p>
    <w:p>
      <w:pPr>
        <w:pStyle w:val="2"/>
        <w:rPr>
          <w:rFonts w:hint="eastAsia" w:asciiTheme="minorEastAsia" w:hAnsiTheme="minorEastAsia" w:eastAsiaTheme="minorEastAsia" w:cstheme="minorEastAsia"/>
          <w:i w:val="0"/>
          <w:caps w:val="0"/>
          <w:color w:val="262626"/>
          <w:spacing w:val="0"/>
          <w:kern w:val="0"/>
          <w:sz w:val="28"/>
          <w:szCs w:val="28"/>
          <w:lang w:val="en-US" w:eastAsia="zh-CN" w:bidi="ar"/>
        </w:rPr>
      </w:pPr>
    </w:p>
    <w:p>
      <w:pPr>
        <w:pStyle w:val="2"/>
        <w:rPr>
          <w:rFonts w:hint="eastAsia" w:asciiTheme="minorEastAsia" w:hAnsiTheme="minorEastAsia" w:eastAsiaTheme="minorEastAsia" w:cstheme="minorEastAsia"/>
          <w:i w:val="0"/>
          <w:caps w:val="0"/>
          <w:color w:val="262626"/>
          <w:spacing w:val="0"/>
          <w:kern w:val="0"/>
          <w:sz w:val="28"/>
          <w:szCs w:val="28"/>
          <w:lang w:val="en-US" w:eastAsia="zh-CN" w:bidi="ar"/>
        </w:rPr>
      </w:pPr>
    </w:p>
    <w:p>
      <w:pPr>
        <w:rPr>
          <w:rFonts w:hint="default" w:ascii="仿宋_GB2312" w:hAnsi="仿宋_GB2312" w:eastAsia="仿宋_GB2312" w:cs="仿宋_GB2312"/>
          <w:i w:val="0"/>
          <w:caps w:val="0"/>
          <w:color w:val="262626"/>
          <w:spacing w:val="0"/>
          <w:kern w:val="0"/>
          <w:sz w:val="28"/>
          <w:szCs w:val="28"/>
          <w:lang w:val="en-US" w:eastAsia="zh-CN" w:bidi="ar"/>
        </w:rPr>
      </w:pPr>
    </w:p>
    <w:p>
      <w:pPr>
        <w:rPr>
          <w:rFonts w:hint="eastAsia" w:ascii="仿宋_GB2312" w:hAnsi="仿宋_GB2312" w:eastAsia="仿宋_GB2312" w:cs="仿宋_GB2312"/>
          <w:i w:val="0"/>
          <w:caps w:val="0"/>
          <w:color w:val="262626"/>
          <w:spacing w:val="0"/>
          <w:kern w:val="0"/>
          <w:sz w:val="28"/>
          <w:szCs w:val="28"/>
          <w:lang w:val="en-US" w:eastAsia="zh-CN" w:bidi="ar"/>
        </w:rPr>
      </w:pPr>
      <w:r>
        <w:rPr>
          <w:rFonts w:hint="eastAsia" w:ascii="仿宋_GB2312" w:hAnsi="仿宋_GB2312" w:eastAsia="仿宋_GB2312" w:cs="仿宋_GB2312"/>
          <w:i w:val="0"/>
          <w:caps w:val="0"/>
          <w:color w:val="262626"/>
          <w:spacing w:val="0"/>
          <w:kern w:val="0"/>
          <w:sz w:val="28"/>
          <w:szCs w:val="28"/>
          <w:lang w:val="en-US" w:eastAsia="zh-CN" w:bidi="ar"/>
        </w:rPr>
        <w:t>附件：       教学质量监测与评价通用意见反馈表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2370"/>
        <w:gridCol w:w="1670"/>
        <w:gridCol w:w="2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2" w:hRule="atLeast"/>
        </w:trPr>
        <w:tc>
          <w:tcPr>
            <w:tcW w:w="2301" w:type="dxa"/>
            <w:vAlign w:val="center"/>
          </w:tcPr>
          <w:p>
            <w:pPr>
              <w:ind w:firstLine="560" w:firstLineChars="200"/>
              <w:jc w:val="center"/>
              <w:rPr>
                <w:rFonts w:hint="default" w:ascii="仿宋_GB2312" w:hAnsi="仿宋_GB2312" w:eastAsia="仿宋_GB2312" w:cs="仿宋_GB2312"/>
                <w:i w:val="0"/>
                <w:caps w:val="0"/>
                <w:color w:val="262626"/>
                <w:spacing w:val="0"/>
                <w:kern w:val="0"/>
                <w:sz w:val="28"/>
                <w:szCs w:val="28"/>
                <w:vertAlign w:val="baseline"/>
                <w:lang w:val="en-US" w:eastAsia="zh-CN" w:bidi="ar"/>
              </w:rPr>
            </w:pPr>
            <w:r>
              <w:rPr>
                <w:rFonts w:hint="eastAsia" w:ascii="仿宋_GB2312" w:hAnsi="仿宋_GB2312" w:eastAsia="仿宋_GB2312" w:cs="仿宋_GB2312"/>
                <w:i w:val="0"/>
                <w:caps w:val="0"/>
                <w:color w:val="262626"/>
                <w:spacing w:val="0"/>
                <w:kern w:val="0"/>
                <w:sz w:val="28"/>
                <w:szCs w:val="28"/>
                <w:vertAlign w:val="baseline"/>
                <w:lang w:val="en-US" w:eastAsia="zh-CN" w:bidi="ar"/>
              </w:rPr>
              <w:t>测评事项</w:t>
            </w:r>
          </w:p>
        </w:tc>
        <w:tc>
          <w:tcPr>
            <w:tcW w:w="2370" w:type="dxa"/>
            <w:vAlign w:val="center"/>
          </w:tcPr>
          <w:p>
            <w:pPr>
              <w:jc w:val="center"/>
              <w:rPr>
                <w:rFonts w:hint="default" w:ascii="仿宋_GB2312" w:hAnsi="仿宋_GB2312" w:eastAsia="仿宋_GB2312" w:cs="仿宋_GB2312"/>
                <w:i w:val="0"/>
                <w:caps w:val="0"/>
                <w:color w:val="262626"/>
                <w:spacing w:val="0"/>
                <w:kern w:val="0"/>
                <w:sz w:val="28"/>
                <w:szCs w:val="28"/>
                <w:vertAlign w:val="baseline"/>
                <w:lang w:val="en-US" w:eastAsia="zh-CN" w:bidi="ar"/>
              </w:rPr>
            </w:pPr>
          </w:p>
          <w:p>
            <w:pPr>
              <w:jc w:val="center"/>
              <w:rPr>
                <w:rFonts w:hint="default" w:ascii="仿宋_GB2312" w:hAnsi="仿宋_GB2312" w:eastAsia="仿宋_GB2312" w:cs="仿宋_GB2312"/>
                <w:i w:val="0"/>
                <w:caps w:val="0"/>
                <w:color w:val="262626"/>
                <w:spacing w:val="0"/>
                <w:kern w:val="0"/>
                <w:sz w:val="28"/>
                <w:szCs w:val="28"/>
                <w:vertAlign w:val="baseline"/>
                <w:lang w:val="en-US" w:eastAsia="zh-CN" w:bidi="ar"/>
              </w:rPr>
            </w:pPr>
          </w:p>
        </w:tc>
        <w:tc>
          <w:tcPr>
            <w:tcW w:w="1670" w:type="dxa"/>
            <w:vAlign w:val="center"/>
          </w:tcPr>
          <w:p>
            <w:pPr>
              <w:ind w:firstLine="280" w:firstLineChars="100"/>
              <w:jc w:val="center"/>
              <w:rPr>
                <w:rFonts w:hint="eastAsia" w:ascii="仿宋_GB2312" w:hAnsi="仿宋_GB2312" w:eastAsia="仿宋_GB2312" w:cs="仿宋_GB2312"/>
                <w:i w:val="0"/>
                <w:caps w:val="0"/>
                <w:color w:val="262626"/>
                <w:spacing w:val="0"/>
                <w:kern w:val="0"/>
                <w:sz w:val="28"/>
                <w:szCs w:val="28"/>
                <w:vertAlign w:val="baseline"/>
                <w:lang w:val="en-US" w:eastAsia="zh-CN" w:bidi="ar"/>
              </w:rPr>
            </w:pPr>
          </w:p>
          <w:p>
            <w:pPr>
              <w:ind w:firstLine="280" w:firstLineChars="100"/>
              <w:jc w:val="center"/>
              <w:rPr>
                <w:rFonts w:hint="eastAsia" w:ascii="仿宋_GB2312" w:hAnsi="仿宋_GB2312" w:eastAsia="仿宋_GB2312" w:cs="仿宋_GB2312"/>
                <w:i w:val="0"/>
                <w:caps w:val="0"/>
                <w:color w:val="262626"/>
                <w:spacing w:val="0"/>
                <w:kern w:val="0"/>
                <w:sz w:val="28"/>
                <w:szCs w:val="28"/>
                <w:vertAlign w:val="baseline"/>
                <w:lang w:val="en-US" w:eastAsia="zh-CN" w:bidi="ar"/>
              </w:rPr>
            </w:pPr>
            <w:r>
              <w:rPr>
                <w:rFonts w:hint="eastAsia" w:ascii="仿宋_GB2312" w:hAnsi="仿宋_GB2312" w:eastAsia="仿宋_GB2312" w:cs="仿宋_GB2312"/>
                <w:i w:val="0"/>
                <w:caps w:val="0"/>
                <w:color w:val="262626"/>
                <w:spacing w:val="0"/>
                <w:kern w:val="0"/>
                <w:sz w:val="28"/>
                <w:szCs w:val="28"/>
                <w:vertAlign w:val="baseline"/>
                <w:lang w:val="en-US" w:eastAsia="zh-CN" w:bidi="ar"/>
              </w:rPr>
              <w:t>受评对象</w:t>
            </w:r>
          </w:p>
          <w:p>
            <w:pPr>
              <w:ind w:firstLine="280" w:firstLineChars="100"/>
              <w:jc w:val="center"/>
              <w:rPr>
                <w:rFonts w:hint="default" w:ascii="仿宋_GB2312" w:hAnsi="仿宋_GB2312" w:eastAsia="仿宋_GB2312" w:cs="仿宋_GB2312"/>
                <w:i w:val="0"/>
                <w:caps w:val="0"/>
                <w:color w:val="262626"/>
                <w:spacing w:val="0"/>
                <w:kern w:val="0"/>
                <w:sz w:val="28"/>
                <w:szCs w:val="28"/>
                <w:vertAlign w:val="baseline"/>
                <w:lang w:val="en-US" w:eastAsia="zh-CN" w:bidi="ar"/>
              </w:rPr>
            </w:pPr>
          </w:p>
        </w:tc>
        <w:tc>
          <w:tcPr>
            <w:tcW w:w="2181" w:type="dxa"/>
            <w:vAlign w:val="center"/>
          </w:tcPr>
          <w:p>
            <w:pPr>
              <w:jc w:val="center"/>
              <w:rPr>
                <w:rFonts w:hint="default" w:ascii="仿宋_GB2312" w:hAnsi="仿宋_GB2312" w:eastAsia="仿宋_GB2312" w:cs="仿宋_GB2312"/>
                <w:i w:val="0"/>
                <w:caps w:val="0"/>
                <w:color w:val="262626"/>
                <w:spacing w:val="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01" w:type="dxa"/>
            <w:vAlign w:val="center"/>
          </w:tcPr>
          <w:p>
            <w:pPr>
              <w:ind w:firstLine="280" w:firstLineChars="100"/>
              <w:jc w:val="center"/>
              <w:rPr>
                <w:rFonts w:hint="eastAsia" w:ascii="仿宋_GB2312" w:hAnsi="仿宋_GB2312" w:eastAsia="仿宋_GB2312" w:cs="仿宋_GB2312"/>
                <w:i w:val="0"/>
                <w:caps w:val="0"/>
                <w:color w:val="262626"/>
                <w:spacing w:val="0"/>
                <w:kern w:val="0"/>
                <w:sz w:val="28"/>
                <w:szCs w:val="28"/>
                <w:vertAlign w:val="baseline"/>
                <w:lang w:val="en-US" w:eastAsia="zh-CN" w:bidi="ar"/>
              </w:rPr>
            </w:pPr>
            <w:r>
              <w:rPr>
                <w:rFonts w:hint="eastAsia" w:ascii="仿宋_GB2312" w:hAnsi="仿宋_GB2312" w:eastAsia="仿宋_GB2312" w:cs="仿宋_GB2312"/>
                <w:i w:val="0"/>
                <w:caps w:val="0"/>
                <w:color w:val="262626"/>
                <w:spacing w:val="0"/>
                <w:kern w:val="0"/>
                <w:sz w:val="28"/>
                <w:szCs w:val="28"/>
                <w:vertAlign w:val="baseline"/>
                <w:lang w:val="en-US" w:eastAsia="zh-CN" w:bidi="ar"/>
              </w:rPr>
              <w:t>存在主要问题</w:t>
            </w:r>
          </w:p>
          <w:p>
            <w:pPr>
              <w:jc w:val="center"/>
              <w:rPr>
                <w:rFonts w:hint="eastAsia" w:ascii="仿宋_GB2312" w:hAnsi="仿宋_GB2312" w:eastAsia="仿宋_GB2312" w:cs="仿宋_GB2312"/>
                <w:i w:val="0"/>
                <w:caps w:val="0"/>
                <w:color w:val="262626"/>
                <w:spacing w:val="0"/>
                <w:kern w:val="0"/>
                <w:sz w:val="28"/>
                <w:szCs w:val="28"/>
                <w:vertAlign w:val="baseline"/>
                <w:lang w:val="en-US" w:eastAsia="zh-CN" w:bidi="ar"/>
              </w:rPr>
            </w:pPr>
            <w:r>
              <w:rPr>
                <w:rFonts w:hint="eastAsia" w:ascii="仿宋_GB2312" w:hAnsi="仿宋_GB2312" w:eastAsia="仿宋_GB2312" w:cs="仿宋_GB2312"/>
                <w:i w:val="0"/>
                <w:caps w:val="0"/>
                <w:color w:val="262626"/>
                <w:spacing w:val="0"/>
                <w:kern w:val="0"/>
                <w:sz w:val="28"/>
                <w:szCs w:val="28"/>
                <w:vertAlign w:val="baseline"/>
                <w:lang w:val="en-US" w:eastAsia="zh-CN" w:bidi="ar"/>
              </w:rPr>
              <w:t>（监测与评价部门或人员填写）</w:t>
            </w:r>
          </w:p>
          <w:p>
            <w:pPr>
              <w:jc w:val="center"/>
              <w:rPr>
                <w:rFonts w:hint="default" w:ascii="仿宋_GB2312" w:hAnsi="仿宋_GB2312" w:eastAsia="仿宋_GB2312" w:cs="仿宋_GB2312"/>
                <w:i w:val="0"/>
                <w:caps w:val="0"/>
                <w:color w:val="262626"/>
                <w:spacing w:val="0"/>
                <w:kern w:val="0"/>
                <w:sz w:val="28"/>
                <w:szCs w:val="28"/>
                <w:vertAlign w:val="baseline"/>
                <w:lang w:val="en-US" w:eastAsia="zh-CN" w:bidi="ar"/>
              </w:rPr>
            </w:pPr>
          </w:p>
        </w:tc>
        <w:tc>
          <w:tcPr>
            <w:tcW w:w="6221" w:type="dxa"/>
            <w:gridSpan w:val="3"/>
            <w:vAlign w:val="center"/>
          </w:tcPr>
          <w:p>
            <w:pPr>
              <w:jc w:val="center"/>
              <w:rPr>
                <w:rFonts w:hint="default" w:ascii="仿宋_GB2312" w:hAnsi="仿宋_GB2312" w:eastAsia="仿宋_GB2312" w:cs="仿宋_GB2312"/>
                <w:i w:val="0"/>
                <w:caps w:val="0"/>
                <w:color w:val="262626"/>
                <w:spacing w:val="0"/>
                <w:kern w:val="0"/>
                <w:sz w:val="28"/>
                <w:szCs w:val="28"/>
                <w:vertAlign w:val="baseline"/>
                <w:lang w:val="en-US" w:eastAsia="zh-CN" w:bidi="ar"/>
              </w:rPr>
            </w:pPr>
          </w:p>
          <w:p>
            <w:pPr>
              <w:jc w:val="center"/>
              <w:rPr>
                <w:rFonts w:hint="default" w:ascii="仿宋_GB2312" w:hAnsi="仿宋_GB2312" w:eastAsia="仿宋_GB2312" w:cs="仿宋_GB2312"/>
                <w:i w:val="0"/>
                <w:caps w:val="0"/>
                <w:color w:val="262626"/>
                <w:spacing w:val="0"/>
                <w:kern w:val="0"/>
                <w:sz w:val="28"/>
                <w:szCs w:val="28"/>
                <w:vertAlign w:val="baseline"/>
                <w:lang w:val="en-US" w:eastAsia="zh-CN" w:bidi="ar"/>
              </w:rPr>
            </w:pPr>
          </w:p>
          <w:p>
            <w:pPr>
              <w:jc w:val="center"/>
              <w:rPr>
                <w:rFonts w:hint="default" w:ascii="仿宋_GB2312" w:hAnsi="仿宋_GB2312" w:eastAsia="仿宋_GB2312" w:cs="仿宋_GB2312"/>
                <w:i w:val="0"/>
                <w:caps w:val="0"/>
                <w:color w:val="262626"/>
                <w:spacing w:val="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01" w:type="dxa"/>
            <w:vAlign w:val="center"/>
          </w:tcPr>
          <w:p>
            <w:pPr>
              <w:ind w:firstLine="280" w:firstLineChars="100"/>
              <w:jc w:val="center"/>
              <w:rPr>
                <w:rFonts w:hint="eastAsia" w:ascii="仿宋_GB2312" w:hAnsi="仿宋_GB2312" w:eastAsia="仿宋_GB2312" w:cs="仿宋_GB2312"/>
                <w:i w:val="0"/>
                <w:caps w:val="0"/>
                <w:color w:val="262626"/>
                <w:spacing w:val="0"/>
                <w:kern w:val="0"/>
                <w:sz w:val="28"/>
                <w:szCs w:val="28"/>
                <w:vertAlign w:val="baseline"/>
                <w:lang w:val="en-US" w:eastAsia="zh-CN" w:bidi="ar"/>
              </w:rPr>
            </w:pPr>
            <w:r>
              <w:rPr>
                <w:rFonts w:hint="eastAsia" w:ascii="仿宋_GB2312" w:hAnsi="仿宋_GB2312" w:eastAsia="仿宋_GB2312" w:cs="仿宋_GB2312"/>
                <w:i w:val="0"/>
                <w:caps w:val="0"/>
                <w:color w:val="262626"/>
                <w:spacing w:val="0"/>
                <w:kern w:val="0"/>
                <w:sz w:val="28"/>
                <w:szCs w:val="28"/>
                <w:vertAlign w:val="baseline"/>
                <w:lang w:val="en-US" w:eastAsia="zh-CN" w:bidi="ar"/>
              </w:rPr>
              <w:t>诊改情况说明</w:t>
            </w:r>
          </w:p>
          <w:p>
            <w:pPr>
              <w:jc w:val="center"/>
              <w:rPr>
                <w:rFonts w:hint="default" w:ascii="仿宋_GB2312" w:hAnsi="仿宋_GB2312" w:eastAsia="仿宋_GB2312" w:cs="仿宋_GB2312"/>
                <w:i w:val="0"/>
                <w:caps w:val="0"/>
                <w:color w:val="262626"/>
                <w:spacing w:val="0"/>
                <w:kern w:val="0"/>
                <w:sz w:val="28"/>
                <w:szCs w:val="28"/>
                <w:vertAlign w:val="baseline"/>
                <w:lang w:val="en-US" w:eastAsia="zh-CN" w:bidi="ar"/>
              </w:rPr>
            </w:pPr>
            <w:r>
              <w:rPr>
                <w:rFonts w:hint="eastAsia" w:ascii="仿宋_GB2312" w:hAnsi="仿宋_GB2312" w:eastAsia="仿宋_GB2312" w:cs="仿宋_GB2312"/>
                <w:i w:val="0"/>
                <w:caps w:val="0"/>
                <w:color w:val="262626"/>
                <w:spacing w:val="0"/>
                <w:kern w:val="0"/>
                <w:sz w:val="28"/>
                <w:szCs w:val="28"/>
                <w:vertAlign w:val="baseline"/>
                <w:lang w:val="en-US" w:eastAsia="zh-CN" w:bidi="ar"/>
              </w:rPr>
              <w:t>（具体事务承办部门或人员填写）</w:t>
            </w:r>
          </w:p>
        </w:tc>
        <w:tc>
          <w:tcPr>
            <w:tcW w:w="6221" w:type="dxa"/>
            <w:gridSpan w:val="3"/>
            <w:vAlign w:val="center"/>
          </w:tcPr>
          <w:p>
            <w:pPr>
              <w:jc w:val="center"/>
              <w:rPr>
                <w:rFonts w:hint="default" w:ascii="仿宋_GB2312" w:hAnsi="仿宋_GB2312" w:eastAsia="仿宋_GB2312" w:cs="仿宋_GB2312"/>
                <w:i w:val="0"/>
                <w:caps w:val="0"/>
                <w:color w:val="262626"/>
                <w:spacing w:val="0"/>
                <w:kern w:val="0"/>
                <w:sz w:val="28"/>
                <w:szCs w:val="28"/>
                <w:vertAlign w:val="baseline"/>
                <w:lang w:val="en-US" w:eastAsia="zh-CN" w:bidi="ar"/>
              </w:rPr>
            </w:pPr>
          </w:p>
          <w:p>
            <w:pPr>
              <w:jc w:val="center"/>
              <w:rPr>
                <w:rFonts w:hint="default" w:ascii="仿宋_GB2312" w:hAnsi="仿宋_GB2312" w:eastAsia="仿宋_GB2312" w:cs="仿宋_GB2312"/>
                <w:i w:val="0"/>
                <w:caps w:val="0"/>
                <w:color w:val="262626"/>
                <w:spacing w:val="0"/>
                <w:kern w:val="0"/>
                <w:sz w:val="28"/>
                <w:szCs w:val="28"/>
                <w:vertAlign w:val="baseline"/>
                <w:lang w:val="en-US" w:eastAsia="zh-CN" w:bidi="ar"/>
              </w:rPr>
            </w:pPr>
          </w:p>
          <w:p>
            <w:pPr>
              <w:jc w:val="center"/>
              <w:rPr>
                <w:rFonts w:hint="default" w:ascii="仿宋_GB2312" w:hAnsi="仿宋_GB2312" w:eastAsia="仿宋_GB2312" w:cs="仿宋_GB2312"/>
                <w:i w:val="0"/>
                <w:caps w:val="0"/>
                <w:color w:val="262626"/>
                <w:spacing w:val="0"/>
                <w:kern w:val="0"/>
                <w:sz w:val="28"/>
                <w:szCs w:val="28"/>
                <w:vertAlign w:val="baseline"/>
                <w:lang w:val="en-US" w:eastAsia="zh-CN" w:bidi="ar"/>
              </w:rPr>
            </w:pPr>
          </w:p>
          <w:p>
            <w:pPr>
              <w:jc w:val="center"/>
              <w:rPr>
                <w:rFonts w:hint="default" w:ascii="仿宋_GB2312" w:hAnsi="仿宋_GB2312" w:eastAsia="仿宋_GB2312" w:cs="仿宋_GB2312"/>
                <w:i w:val="0"/>
                <w:caps w:val="0"/>
                <w:color w:val="262626"/>
                <w:spacing w:val="0"/>
                <w:kern w:val="0"/>
                <w:sz w:val="28"/>
                <w:szCs w:val="28"/>
                <w:vertAlign w:val="baseline"/>
                <w:lang w:val="en-US" w:eastAsia="zh-CN" w:bidi="ar"/>
              </w:rPr>
            </w:pPr>
          </w:p>
          <w:p>
            <w:pPr>
              <w:jc w:val="center"/>
              <w:rPr>
                <w:rFonts w:hint="default" w:ascii="仿宋_GB2312" w:hAnsi="仿宋_GB2312" w:eastAsia="仿宋_GB2312" w:cs="仿宋_GB2312"/>
                <w:i w:val="0"/>
                <w:caps w:val="0"/>
                <w:color w:val="262626"/>
                <w:spacing w:val="0"/>
                <w:kern w:val="0"/>
                <w:sz w:val="28"/>
                <w:szCs w:val="28"/>
                <w:vertAlign w:val="baseline"/>
                <w:lang w:val="en-US" w:eastAsia="zh-CN" w:bidi="ar"/>
              </w:rPr>
            </w:pPr>
          </w:p>
          <w:p>
            <w:pPr>
              <w:jc w:val="center"/>
              <w:rPr>
                <w:rFonts w:hint="default" w:ascii="仿宋_GB2312" w:hAnsi="仿宋_GB2312" w:eastAsia="仿宋_GB2312" w:cs="仿宋_GB2312"/>
                <w:i w:val="0"/>
                <w:caps w:val="0"/>
                <w:color w:val="262626"/>
                <w:spacing w:val="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trPr>
        <w:tc>
          <w:tcPr>
            <w:tcW w:w="2301" w:type="dxa"/>
            <w:vAlign w:val="center"/>
          </w:tcPr>
          <w:p>
            <w:pPr>
              <w:ind w:firstLine="280" w:firstLineChars="100"/>
              <w:jc w:val="center"/>
              <w:rPr>
                <w:rFonts w:hint="eastAsia" w:ascii="仿宋_GB2312" w:hAnsi="仿宋_GB2312" w:eastAsia="仿宋_GB2312" w:cs="仿宋_GB2312"/>
                <w:i w:val="0"/>
                <w:caps w:val="0"/>
                <w:color w:val="262626"/>
                <w:spacing w:val="0"/>
                <w:kern w:val="0"/>
                <w:sz w:val="28"/>
                <w:szCs w:val="28"/>
                <w:vertAlign w:val="baseline"/>
                <w:lang w:val="en-US" w:eastAsia="zh-CN" w:bidi="ar"/>
              </w:rPr>
            </w:pPr>
            <w:r>
              <w:rPr>
                <w:rFonts w:hint="eastAsia" w:ascii="仿宋_GB2312" w:hAnsi="仿宋_GB2312" w:eastAsia="仿宋_GB2312" w:cs="仿宋_GB2312"/>
                <w:i w:val="0"/>
                <w:caps w:val="0"/>
                <w:color w:val="262626"/>
                <w:spacing w:val="0"/>
                <w:kern w:val="0"/>
                <w:sz w:val="28"/>
                <w:szCs w:val="28"/>
                <w:vertAlign w:val="baseline"/>
                <w:lang w:val="en-US" w:eastAsia="zh-CN" w:bidi="ar"/>
              </w:rPr>
              <w:t>诊改情况再评</w:t>
            </w:r>
          </w:p>
          <w:p>
            <w:pPr>
              <w:jc w:val="center"/>
              <w:rPr>
                <w:rFonts w:hint="default" w:ascii="仿宋_GB2312" w:hAnsi="仿宋_GB2312" w:eastAsia="仿宋_GB2312" w:cs="仿宋_GB2312"/>
                <w:i w:val="0"/>
                <w:caps w:val="0"/>
                <w:color w:val="262626"/>
                <w:spacing w:val="0"/>
                <w:kern w:val="0"/>
                <w:sz w:val="28"/>
                <w:szCs w:val="28"/>
                <w:vertAlign w:val="baseline"/>
                <w:lang w:val="en-US" w:eastAsia="zh-CN" w:bidi="ar"/>
              </w:rPr>
            </w:pPr>
            <w:r>
              <w:rPr>
                <w:rFonts w:hint="eastAsia" w:ascii="仿宋_GB2312" w:hAnsi="仿宋_GB2312" w:eastAsia="仿宋_GB2312" w:cs="仿宋_GB2312"/>
                <w:i w:val="0"/>
                <w:caps w:val="0"/>
                <w:color w:val="262626"/>
                <w:spacing w:val="0"/>
                <w:kern w:val="0"/>
                <w:sz w:val="28"/>
                <w:szCs w:val="28"/>
                <w:vertAlign w:val="baseline"/>
                <w:lang w:val="en-US" w:eastAsia="zh-CN" w:bidi="ar"/>
              </w:rPr>
              <w:t>（监测与评价部门或人员填写）</w:t>
            </w:r>
          </w:p>
        </w:tc>
        <w:tc>
          <w:tcPr>
            <w:tcW w:w="6221" w:type="dxa"/>
            <w:gridSpan w:val="3"/>
            <w:vAlign w:val="center"/>
          </w:tcPr>
          <w:p>
            <w:pPr>
              <w:jc w:val="center"/>
              <w:rPr>
                <w:rFonts w:hint="default" w:ascii="仿宋_GB2312" w:hAnsi="仿宋_GB2312" w:eastAsia="仿宋_GB2312" w:cs="仿宋_GB2312"/>
                <w:i w:val="0"/>
                <w:caps w:val="0"/>
                <w:color w:val="262626"/>
                <w:spacing w:val="0"/>
                <w:kern w:val="0"/>
                <w:sz w:val="28"/>
                <w:szCs w:val="28"/>
                <w:vertAlign w:val="baseline"/>
                <w:lang w:val="en-US" w:eastAsia="zh-CN" w:bidi="ar"/>
              </w:rPr>
            </w:pPr>
          </w:p>
          <w:p>
            <w:pPr>
              <w:jc w:val="center"/>
              <w:rPr>
                <w:rFonts w:hint="default" w:ascii="仿宋_GB2312" w:hAnsi="仿宋_GB2312" w:eastAsia="仿宋_GB2312" w:cs="仿宋_GB2312"/>
                <w:i w:val="0"/>
                <w:caps w:val="0"/>
                <w:color w:val="262626"/>
                <w:spacing w:val="0"/>
                <w:kern w:val="0"/>
                <w:sz w:val="28"/>
                <w:szCs w:val="28"/>
                <w:vertAlign w:val="baseline"/>
                <w:lang w:val="en-US" w:eastAsia="zh-CN" w:bidi="ar"/>
              </w:rPr>
            </w:pPr>
          </w:p>
          <w:p>
            <w:pPr>
              <w:jc w:val="center"/>
              <w:rPr>
                <w:rFonts w:hint="default" w:ascii="仿宋_GB2312" w:hAnsi="仿宋_GB2312" w:eastAsia="仿宋_GB2312" w:cs="仿宋_GB2312"/>
                <w:i w:val="0"/>
                <w:caps w:val="0"/>
                <w:color w:val="262626"/>
                <w:spacing w:val="0"/>
                <w:kern w:val="0"/>
                <w:sz w:val="28"/>
                <w:szCs w:val="28"/>
                <w:vertAlign w:val="baseline"/>
                <w:lang w:val="en-US" w:eastAsia="zh-CN" w:bidi="ar"/>
              </w:rPr>
            </w:pPr>
          </w:p>
          <w:p>
            <w:pPr>
              <w:jc w:val="center"/>
              <w:rPr>
                <w:rFonts w:hint="default" w:ascii="仿宋_GB2312" w:hAnsi="仿宋_GB2312" w:eastAsia="仿宋_GB2312" w:cs="仿宋_GB2312"/>
                <w:i w:val="0"/>
                <w:caps w:val="0"/>
                <w:color w:val="262626"/>
                <w:spacing w:val="0"/>
                <w:kern w:val="0"/>
                <w:sz w:val="28"/>
                <w:szCs w:val="28"/>
                <w:vertAlign w:val="baseline"/>
                <w:lang w:val="en-US" w:eastAsia="zh-CN" w:bidi="ar"/>
              </w:rPr>
            </w:pPr>
          </w:p>
          <w:p>
            <w:pPr>
              <w:jc w:val="center"/>
              <w:rPr>
                <w:rFonts w:hint="default" w:ascii="仿宋_GB2312" w:hAnsi="仿宋_GB2312" w:eastAsia="仿宋_GB2312" w:cs="仿宋_GB2312"/>
                <w:i w:val="0"/>
                <w:caps w:val="0"/>
                <w:color w:val="262626"/>
                <w:spacing w:val="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01" w:type="dxa"/>
            <w:vAlign w:val="center"/>
          </w:tcPr>
          <w:p>
            <w:pPr>
              <w:ind w:firstLine="280" w:firstLineChars="100"/>
              <w:jc w:val="center"/>
              <w:rPr>
                <w:rFonts w:hint="eastAsia" w:ascii="仿宋_GB2312" w:hAnsi="仿宋_GB2312" w:eastAsia="仿宋_GB2312" w:cs="仿宋_GB2312"/>
                <w:i w:val="0"/>
                <w:caps w:val="0"/>
                <w:color w:val="262626"/>
                <w:spacing w:val="0"/>
                <w:kern w:val="0"/>
                <w:sz w:val="28"/>
                <w:szCs w:val="28"/>
                <w:vertAlign w:val="baseline"/>
                <w:lang w:val="en-US" w:eastAsia="zh-CN" w:bidi="ar"/>
              </w:rPr>
            </w:pPr>
            <w:r>
              <w:rPr>
                <w:rFonts w:hint="eastAsia" w:ascii="仿宋_GB2312" w:hAnsi="仿宋_GB2312" w:eastAsia="仿宋_GB2312" w:cs="仿宋_GB2312"/>
                <w:i w:val="0"/>
                <w:caps w:val="0"/>
                <w:color w:val="262626"/>
                <w:spacing w:val="0"/>
                <w:kern w:val="0"/>
                <w:sz w:val="28"/>
                <w:szCs w:val="28"/>
                <w:vertAlign w:val="baseline"/>
                <w:lang w:val="en-US" w:eastAsia="zh-CN" w:bidi="ar"/>
              </w:rPr>
              <w:t>备注</w:t>
            </w:r>
          </w:p>
          <w:p>
            <w:pPr>
              <w:ind w:firstLine="280" w:firstLineChars="100"/>
              <w:jc w:val="center"/>
              <w:rPr>
                <w:rFonts w:hint="eastAsia" w:ascii="仿宋_GB2312" w:hAnsi="仿宋_GB2312" w:eastAsia="仿宋_GB2312" w:cs="仿宋_GB2312"/>
                <w:i w:val="0"/>
                <w:caps w:val="0"/>
                <w:color w:val="262626"/>
                <w:spacing w:val="0"/>
                <w:kern w:val="0"/>
                <w:sz w:val="28"/>
                <w:szCs w:val="28"/>
                <w:vertAlign w:val="baseline"/>
                <w:lang w:val="en-US" w:eastAsia="zh-CN" w:bidi="ar"/>
              </w:rPr>
            </w:pPr>
            <w:r>
              <w:rPr>
                <w:rFonts w:hint="eastAsia" w:ascii="仿宋_GB2312" w:hAnsi="仿宋_GB2312" w:eastAsia="仿宋_GB2312" w:cs="仿宋_GB2312"/>
                <w:i w:val="0"/>
                <w:caps w:val="0"/>
                <w:color w:val="262626"/>
                <w:spacing w:val="0"/>
                <w:kern w:val="0"/>
                <w:sz w:val="28"/>
                <w:szCs w:val="28"/>
                <w:vertAlign w:val="baseline"/>
                <w:lang w:val="en-US" w:eastAsia="zh-CN" w:bidi="ar"/>
              </w:rPr>
              <w:t>事项</w:t>
            </w:r>
          </w:p>
        </w:tc>
        <w:tc>
          <w:tcPr>
            <w:tcW w:w="6221" w:type="dxa"/>
            <w:gridSpan w:val="3"/>
            <w:vAlign w:val="center"/>
          </w:tcPr>
          <w:p>
            <w:pPr>
              <w:jc w:val="center"/>
              <w:rPr>
                <w:rFonts w:hint="default" w:ascii="仿宋_GB2312" w:hAnsi="仿宋_GB2312" w:eastAsia="仿宋_GB2312" w:cs="仿宋_GB2312"/>
                <w:i w:val="0"/>
                <w:caps w:val="0"/>
                <w:color w:val="262626"/>
                <w:spacing w:val="0"/>
                <w:kern w:val="0"/>
                <w:sz w:val="28"/>
                <w:szCs w:val="28"/>
                <w:vertAlign w:val="baseline"/>
                <w:lang w:val="en-US" w:eastAsia="zh-CN" w:bidi="ar"/>
              </w:rPr>
            </w:pPr>
          </w:p>
        </w:tc>
      </w:tr>
    </w:tbl>
    <w:p>
      <w:pPr>
        <w:rPr>
          <w:rFonts w:hint="default" w:ascii="仿宋_GB2312" w:hAnsi="仿宋_GB2312" w:eastAsia="仿宋_GB2312" w:cs="仿宋_GB2312"/>
          <w:i w:val="0"/>
          <w:caps w:val="0"/>
          <w:color w:val="262626"/>
          <w:spacing w:val="0"/>
          <w:kern w:val="0"/>
          <w:sz w:val="28"/>
          <w:szCs w:val="28"/>
          <w:lang w:val="en-US" w:eastAsia="zh-CN"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F0E03"/>
    <w:multiLevelType w:val="singleLevel"/>
    <w:tmpl w:val="646F0E03"/>
    <w:lvl w:ilvl="0" w:tentative="0">
      <w:start w:val="6"/>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A2957"/>
    <w:rsid w:val="091F56F2"/>
    <w:rsid w:val="0F006EFC"/>
    <w:rsid w:val="100F734D"/>
    <w:rsid w:val="1CFE2551"/>
    <w:rsid w:val="2F7606FF"/>
    <w:rsid w:val="320A2957"/>
    <w:rsid w:val="39144BE9"/>
    <w:rsid w:val="3B5C34A6"/>
    <w:rsid w:val="401866CC"/>
    <w:rsid w:val="4ACA71E4"/>
    <w:rsid w:val="4B9A7ADE"/>
    <w:rsid w:val="4D5B1C1E"/>
    <w:rsid w:val="50FF5E47"/>
    <w:rsid w:val="555C49AD"/>
    <w:rsid w:val="5F8B1E5F"/>
    <w:rsid w:val="678C4250"/>
    <w:rsid w:val="6B0F4301"/>
    <w:rsid w:val="77254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宋体" w:asciiTheme="minorHAnsi" w:hAnsiTheme="minorHAnsi" w:eastAsiaTheme="minorEastAsia"/>
      <w:kern w:val="2"/>
      <w:sz w:val="21"/>
      <w:szCs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2023-05-10T03:03:00Z</dcterms:created>
  <dc:creator>Administrator</dc:creator>
  <cp:lastModifiedBy>Administrator</cp:lastModifiedBy>
  <cp:lastPrinted>2023-05-22T03:25:00Z</cp:lastPrinted>
  <dcterms:modified xsi:type="dcterms:W3CDTF">2023-06-19T07:57:10Z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